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Lund kommunfullmäktige</w:t>
      </w:r>
    </w:p>
    <w:p>
      <w:pPr>
        <w:pStyle w:val="Heading1"/>
      </w:pPr>
      <w:r>
        <w:t xml:space="preserve">Snabbare bygglov för innovation och startups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Lund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Lund har stark life-science-miljö men bygglov tar i snitt 14 månader (Svenskt Näringsliv 2025). Detta hämmar företagsetableringar kring Ideon och Medicon Village.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Lund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bygglovsprocessen för kunskapsintensiva företag kortas till max 6 månader.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digital bygglovsportal med e-tjänst införs senast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kommunen tillsätter en innovationslots för företagsetableringar.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 redovisning av handläggningstider lämnas till kommunfullmäktige.</w:t>
      </w:r>
    </w:p>
    <w:p>
      <w:pPr>
        <w:spacing w:before="360"/>
      </w:pPr>
    </w:p>
    <w:p>
      <w:r>
        <w:t xml:space="preserve">Lund,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Lund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2026-07-14T04:24:31.890Z</dcterms:created>
  <dcterms:modified xsi:type="dcterms:W3CDTF">2026-07-14T04:24:31.890Z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